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微软雅黑" w:hAnsi="微软雅黑" w:eastAsia="微软雅黑" w:cs="宋体"/>
          <w:b/>
          <w:bCs/>
          <w:kern w:val="0"/>
          <w:sz w:val="32"/>
          <w:szCs w:val="32"/>
        </w:rPr>
      </w:pPr>
      <w:r>
        <w:rPr>
          <w:rFonts w:hint="eastAsia" w:ascii="微软雅黑" w:hAnsi="微软雅黑" w:eastAsia="微软雅黑" w:cs="宋体"/>
          <w:b/>
          <w:bCs/>
          <w:kern w:val="0"/>
          <w:sz w:val="32"/>
          <w:szCs w:val="32"/>
        </w:rPr>
        <w:t>基金交易类业务申请书（个人）</w:t>
      </w:r>
    </w:p>
    <w:tbl>
      <w:tblPr>
        <w:tblStyle w:val="12"/>
        <w:tblpPr w:leftFromText="180" w:rightFromText="180" w:vertAnchor="page" w:horzAnchor="margin" w:tblpX="324" w:tblpY="1981"/>
        <w:tblW w:w="1031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706"/>
        <w:gridCol w:w="1651"/>
        <w:gridCol w:w="609"/>
        <w:gridCol w:w="70"/>
        <w:gridCol w:w="539"/>
        <w:gridCol w:w="66"/>
        <w:gridCol w:w="543"/>
        <w:gridCol w:w="61"/>
        <w:gridCol w:w="552"/>
        <w:gridCol w:w="55"/>
        <w:gridCol w:w="212"/>
        <w:gridCol w:w="345"/>
        <w:gridCol w:w="50"/>
        <w:gridCol w:w="562"/>
        <w:gridCol w:w="45"/>
        <w:gridCol w:w="43"/>
        <w:gridCol w:w="525"/>
        <w:gridCol w:w="39"/>
        <w:gridCol w:w="573"/>
        <w:gridCol w:w="33"/>
        <w:gridCol w:w="235"/>
        <w:gridCol w:w="81"/>
        <w:gridCol w:w="263"/>
        <w:gridCol w:w="28"/>
        <w:gridCol w:w="585"/>
        <w:gridCol w:w="21"/>
        <w:gridCol w:w="591"/>
        <w:gridCol w:w="16"/>
        <w:gridCol w:w="596"/>
        <w:gridCol w:w="10"/>
        <w:gridCol w:w="60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2357" w:type="dxa"/>
            <w:gridSpan w:val="2"/>
            <w:tcBorders>
              <w:top w:val="single" w:color="auto" w:sz="12" w:space="0"/>
              <w:left w:val="single" w:color="auto" w:sz="12"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投资者姓名</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交易日期</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right"/>
              <w:rPr>
                <w:rFonts w:asciiTheme="minorEastAsia" w:hAnsiTheme="minorEastAsia" w:eastAsiaTheme="minorEastAsia"/>
                <w:color w:val="7F7F7F" w:themeColor="background1" w:themeShade="80"/>
                <w:kern w:val="0"/>
                <w:sz w:val="18"/>
                <w:szCs w:val="18"/>
              </w:rPr>
            </w:pPr>
            <w:r>
              <w:rPr>
                <w:rFonts w:hint="eastAsia" w:asciiTheme="minorEastAsia" w:hAnsiTheme="minorEastAsia" w:eastAsiaTheme="minorEastAsia"/>
                <w:color w:val="7F7F7F" w:themeColor="background1" w:themeShade="80"/>
                <w:kern w:val="0"/>
                <w:sz w:val="18"/>
                <w:szCs w:val="18"/>
              </w:rPr>
              <w:t>（必填）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2357" w:type="dxa"/>
            <w:gridSpan w:val="2"/>
            <w:tcBorders>
              <w:top w:val="single" w:color="auto" w:sz="4" w:space="0"/>
              <w:left w:val="single" w:color="auto" w:sz="12" w:space="0"/>
              <w:bottom w:val="single" w:color="auto" w:sz="12" w:space="0"/>
              <w:right w:val="single" w:color="auto" w:sz="4" w:space="0"/>
            </w:tcBorders>
            <w:shd w:val="clear" w:color="auto" w:fill="EEECE1" w:themeFill="background2"/>
            <w:noWrap/>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基金账号</w:t>
            </w:r>
          </w:p>
        </w:tc>
        <w:tc>
          <w:tcPr>
            <w:tcW w:w="3752" w:type="dxa"/>
            <w:gridSpan w:val="1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c>
          <w:tcPr>
            <w:tcW w:w="1405" w:type="dxa"/>
            <w:gridSpan w:val="5"/>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asciiTheme="minorEastAsia" w:hAnsiTheme="minorEastAsia" w:eastAsiaTheme="minorEastAsia"/>
                <w:kern w:val="0"/>
                <w:sz w:val="18"/>
                <w:szCs w:val="18"/>
              </w:rPr>
            </w:pPr>
            <w:r>
              <w:rPr>
                <w:rFonts w:hint="eastAsia" w:asciiTheme="minorEastAsia" w:hAnsiTheme="minorEastAsia" w:eastAsiaTheme="minorEastAsia"/>
                <w:kern w:val="0"/>
                <w:sz w:val="18"/>
                <w:szCs w:val="18"/>
              </w:rPr>
              <w:t>交易账号</w:t>
            </w:r>
          </w:p>
        </w:tc>
        <w:tc>
          <w:tcPr>
            <w:tcW w:w="2800" w:type="dxa"/>
            <w:gridSpan w:val="10"/>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distribute"/>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认</w:t>
            </w:r>
            <w:r>
              <w:rPr>
                <w:rFonts w:hint="eastAsia" w:asciiTheme="minorEastAsia" w:hAnsiTheme="minorEastAsia" w:eastAsiaTheme="minorEastAsia"/>
                <w:bCs/>
                <w:sz w:val="18"/>
                <w:szCs w:val="18"/>
              </w:rPr>
              <w:t>/</w:t>
            </w:r>
            <w:r>
              <w:rPr>
                <w:rFonts w:hint="eastAsia" w:cs="宋体" w:asciiTheme="minorEastAsia" w:hAnsiTheme="minorEastAsia" w:eastAsiaTheme="minorEastAsia"/>
                <w:spacing w:val="20"/>
                <w:kern w:val="0"/>
                <w:sz w:val="18"/>
                <w:szCs w:val="18"/>
              </w:rPr>
              <w:t>申购</w:t>
            </w:r>
          </w:p>
          <w:p>
            <w:pPr>
              <w:widowControl/>
              <w:adjustRightInd w:val="0"/>
              <w:snapToGrid w:val="0"/>
              <w:ind w:left="113" w:right="113"/>
              <w:jc w:val="distribute"/>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金额</w:t>
            </w: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3"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19" w:type="dxa"/>
            <w:gridSpan w:val="2"/>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continue"/>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3"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jc w:val="left"/>
              <w:rPr>
                <w:rFonts w:cs="宋体" w:asciiTheme="minorEastAsia" w:hAnsiTheme="minorEastAsia" w:eastAsiaTheme="minorEastAsia"/>
                <w:kern w:val="0"/>
                <w:sz w:val="18"/>
                <w:szCs w:val="18"/>
              </w:rPr>
            </w:pPr>
          </w:p>
        </w:tc>
        <w:tc>
          <w:tcPr>
            <w:tcW w:w="1651" w:type="dxa"/>
            <w:vMerge w:val="continue"/>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9"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赎回</w:t>
            </w:r>
          </w:p>
          <w:p>
            <w:pPr>
              <w:widowControl/>
              <w:adjustRightInd w:val="0"/>
              <w:snapToGrid w:val="0"/>
              <w:ind w:left="113" w:right="113"/>
              <w:jc w:val="center"/>
              <w:rPr>
                <w:rFonts w:cs="宋体" w:asciiTheme="minorEastAsia" w:hAnsiTheme="minorEastAsia" w:eastAsiaTheme="minorEastAsia"/>
                <w:spacing w:val="2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基金份额</w:t>
            </w: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3"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12"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13"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12"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19" w:type="dxa"/>
            <w:gridSpan w:val="2"/>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D8D8D8" w:themeFill="background1" w:themeFillShade="D9"/>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19" w:type="dxa"/>
            <w:gridSpan w:val="2"/>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4" w:space="0"/>
            </w:tcBorders>
            <w:shd w:val="clear" w:color="auto" w:fill="D8D8D8" w:themeFill="background1" w:themeFillShade="D9"/>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4" w:space="0"/>
              <w:left w:val="single" w:color="auto" w:sz="4" w:space="0"/>
              <w:bottom w:val="single" w:color="auto" w:sz="4"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□全部赎回</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如发生巨额赎回，未成交部分选择</w:t>
            </w:r>
          </w:p>
        </w:tc>
        <w:tc>
          <w:tcPr>
            <w:tcW w:w="7957" w:type="dxa"/>
            <w:gridSpan w:val="2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□撤消赎回申请          □顺延至下一开放日办理（不选择视为“顺延”）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转托管</w:t>
            </w:r>
          </w:p>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05" w:type="dxa"/>
            <w:gridSpan w:val="5"/>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基金代码</w:t>
            </w:r>
          </w:p>
        </w:tc>
        <w:tc>
          <w:tcPr>
            <w:tcW w:w="2800" w:type="dxa"/>
            <w:gridSpan w:val="10"/>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转托管份额</w:t>
            </w: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5"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4"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3"/>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4"/>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06"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09" w:type="dxa"/>
            <w:tcBorders>
              <w:top w:val="single" w:color="auto" w:sz="4" w:space="0"/>
              <w:left w:val="single" w:color="auto" w:sz="4" w:space="0"/>
              <w:bottom w:val="single" w:color="auto" w:sz="4"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4" w:space="0"/>
              <w:left w:val="single" w:color="auto" w:sz="4" w:space="0"/>
              <w:bottom w:val="single" w:color="auto" w:sz="4"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□全部转托管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转出销售商代码</w:t>
            </w:r>
          </w:p>
        </w:tc>
        <w:tc>
          <w:tcPr>
            <w:tcW w:w="3752" w:type="dxa"/>
            <w:gridSpan w:val="14"/>
            <w:tcBorders>
              <w:top w:val="single" w:color="auto" w:sz="4" w:space="0"/>
              <w:left w:val="single" w:color="auto" w:sz="4" w:space="0"/>
              <w:bottom w:val="single" w:color="auto" w:sz="12"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86" w:type="dxa"/>
            <w:gridSpan w:val="6"/>
            <w:tcBorders>
              <w:top w:val="single" w:color="auto" w:sz="4" w:space="0"/>
              <w:left w:val="single" w:color="auto" w:sz="4" w:space="0"/>
              <w:bottom w:val="single" w:color="auto" w:sz="12"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转入销售商代码</w:t>
            </w:r>
          </w:p>
        </w:tc>
        <w:tc>
          <w:tcPr>
            <w:tcW w:w="2719" w:type="dxa"/>
            <w:gridSpan w:val="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0" w:hRule="atLeast"/>
        </w:trPr>
        <w:tc>
          <w:tcPr>
            <w:tcW w:w="706" w:type="dxa"/>
            <w:vMerge w:val="restart"/>
            <w:tcBorders>
              <w:top w:val="single" w:color="auto" w:sz="12" w:space="0"/>
              <w:left w:val="single" w:color="auto" w:sz="12" w:space="0"/>
              <w:bottom w:val="single" w:color="auto" w:sz="4"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基金转换</w:t>
            </w:r>
          </w:p>
          <w:p>
            <w:pPr>
              <w:widowControl/>
              <w:adjustRightInd w:val="0"/>
              <w:snapToGrid w:val="0"/>
              <w:ind w:left="113" w:right="113"/>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12"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转出基金名称</w:t>
            </w:r>
          </w:p>
        </w:tc>
        <w:tc>
          <w:tcPr>
            <w:tcW w:w="3752" w:type="dxa"/>
            <w:gridSpan w:val="14"/>
            <w:tcBorders>
              <w:top w:val="single" w:color="auto" w:sz="12"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86" w:type="dxa"/>
            <w:gridSpan w:val="6"/>
            <w:tcBorders>
              <w:top w:val="single" w:color="auto" w:sz="12"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转出基金代码</w:t>
            </w:r>
          </w:p>
        </w:tc>
        <w:tc>
          <w:tcPr>
            <w:tcW w:w="2719" w:type="dxa"/>
            <w:gridSpan w:val="9"/>
            <w:tcBorders>
              <w:top w:val="single" w:color="auto" w:sz="12"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转入基金名称</w:t>
            </w:r>
          </w:p>
        </w:tc>
        <w:tc>
          <w:tcPr>
            <w:tcW w:w="375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c>
          <w:tcPr>
            <w:tcW w:w="1486" w:type="dxa"/>
            <w:gridSpan w:val="6"/>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转入基金代码</w:t>
            </w:r>
          </w:p>
        </w:tc>
        <w:tc>
          <w:tcPr>
            <w:tcW w:w="2719" w:type="dxa"/>
            <w:gridSpan w:val="9"/>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left"/>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restart"/>
            <w:tcBorders>
              <w:top w:val="single" w:color="auto" w:sz="4" w:space="0"/>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转换份额</w:t>
            </w: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单位</w:t>
            </w:r>
          </w:p>
        </w:tc>
        <w:tc>
          <w:tcPr>
            <w:tcW w:w="605"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4"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亿</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3"/>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3"/>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万</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仟</w:t>
            </w:r>
          </w:p>
        </w:tc>
        <w:tc>
          <w:tcPr>
            <w:tcW w:w="607" w:type="dxa"/>
            <w:gridSpan w:val="4"/>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佰</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拾</w:t>
            </w:r>
          </w:p>
        </w:tc>
        <w:tc>
          <w:tcPr>
            <w:tcW w:w="607"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圆</w:t>
            </w:r>
          </w:p>
        </w:tc>
        <w:tc>
          <w:tcPr>
            <w:tcW w:w="606"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角</w:t>
            </w:r>
          </w:p>
        </w:tc>
        <w:tc>
          <w:tcPr>
            <w:tcW w:w="609" w:type="dxa"/>
            <w:tcBorders>
              <w:top w:val="single" w:color="auto" w:sz="4" w:space="0"/>
              <w:left w:val="single" w:color="auto" w:sz="2" w:space="0"/>
              <w:bottom w:val="single" w:color="auto" w:sz="2" w:space="0"/>
              <w:right w:val="single" w:color="auto" w:sz="1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大写</w:t>
            </w:r>
          </w:p>
        </w:tc>
        <w:tc>
          <w:tcPr>
            <w:tcW w:w="60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2" w:space="0"/>
              <w:left w:val="single" w:color="auto" w:sz="2" w:space="0"/>
              <w:bottom w:val="single" w:color="auto" w:sz="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679" w:type="dxa"/>
            <w:gridSpan w:val="2"/>
            <w:tcBorders>
              <w:top w:val="single" w:color="auto" w:sz="2" w:space="0"/>
              <w:left w:val="single" w:color="auto" w:sz="2" w:space="0"/>
              <w:bottom w:val="single" w:color="auto" w:sz="2" w:space="0"/>
              <w:right w:val="single" w:color="auto" w:sz="2"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小写</w:t>
            </w:r>
          </w:p>
        </w:tc>
        <w:tc>
          <w:tcPr>
            <w:tcW w:w="60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4"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3"/>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4"/>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7"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6"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c>
          <w:tcPr>
            <w:tcW w:w="609" w:type="dxa"/>
            <w:tcBorders>
              <w:top w:val="single" w:color="auto" w:sz="2" w:space="0"/>
              <w:left w:val="single" w:color="auto" w:sz="2" w:space="0"/>
              <w:bottom w:val="single" w:color="auto" w:sz="2" w:space="0"/>
              <w:right w:val="single" w:color="auto" w:sz="12" w:space="0"/>
            </w:tcBorders>
            <w:shd w:val="clear" w:color="auto" w:fill="auto"/>
            <w:vAlign w:val="center"/>
          </w:tcPr>
          <w:p>
            <w:pPr>
              <w:widowControl/>
              <w:adjustRightInd w:val="0"/>
              <w:snapToGrid w:val="0"/>
              <w:jc w:val="center"/>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vMerge w:val="continue"/>
            <w:tcBorders>
              <w:left w:val="single" w:color="auto" w:sz="4" w:space="0"/>
              <w:bottom w:val="single" w:color="auto" w:sz="4"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p>
        </w:tc>
        <w:tc>
          <w:tcPr>
            <w:tcW w:w="7957" w:type="dxa"/>
            <w:gridSpan w:val="29"/>
            <w:tcBorders>
              <w:top w:val="single" w:color="auto" w:sz="2" w:space="0"/>
              <w:left w:val="single" w:color="auto" w:sz="2" w:space="0"/>
              <w:bottom w:val="single" w:color="auto" w:sz="2" w:space="0"/>
              <w:right w:val="single" w:color="auto" w:sz="12" w:space="0"/>
            </w:tcBorders>
            <w:shd w:val="clear" w:color="auto" w:fill="FFFFFF" w:themeFill="background1"/>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□全部转换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4" w:space="0"/>
              <w:right w:val="single" w:color="auto" w:sz="4"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确认编号</w:t>
            </w:r>
          </w:p>
        </w:tc>
        <w:tc>
          <w:tcPr>
            <w:tcW w:w="375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p>
        </w:tc>
        <w:tc>
          <w:tcPr>
            <w:tcW w:w="1405" w:type="dxa"/>
            <w:gridSpan w:val="5"/>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确认日期</w:t>
            </w:r>
          </w:p>
        </w:tc>
        <w:tc>
          <w:tcPr>
            <w:tcW w:w="2800" w:type="dxa"/>
            <w:gridSpan w:val="10"/>
            <w:tcBorders>
              <w:top w:val="single" w:color="auto" w:sz="4" w:space="0"/>
              <w:left w:val="single" w:color="auto" w:sz="4" w:space="0"/>
              <w:bottom w:val="single" w:color="auto" w:sz="4" w:space="0"/>
              <w:right w:val="single" w:color="auto" w:sz="12" w:space="0"/>
            </w:tcBorders>
            <w:shd w:val="clear" w:color="auto" w:fill="auto"/>
            <w:vAlign w:val="center"/>
          </w:tcPr>
          <w:p>
            <w:pPr>
              <w:widowControl/>
              <w:adjustRightInd w:val="0"/>
              <w:snapToGrid w:val="0"/>
              <w:jc w:val="right"/>
              <w:rPr>
                <w:rFonts w:cs="宋体" w:asciiTheme="minorEastAsia" w:hAnsiTheme="minorEastAsia" w:eastAsiaTheme="minorEastAsia"/>
                <w:color w:val="7F7F7F" w:themeColor="background1" w:themeShade="80"/>
                <w:kern w:val="0"/>
                <w:sz w:val="18"/>
                <w:szCs w:val="18"/>
              </w:rPr>
            </w:pPr>
            <w:r>
              <w:rPr>
                <w:rFonts w:hint="eastAsia" w:cs="宋体" w:asciiTheme="minorEastAsia" w:hAnsiTheme="minorEastAsia" w:eastAsiaTheme="minorEastAsia"/>
                <w:color w:val="7F7F7F" w:themeColor="background1" w:themeShade="80"/>
                <w:kern w:val="0"/>
                <w:sz w:val="18"/>
                <w:szCs w:val="18"/>
              </w:rPr>
              <w:t>（指定转换时填写）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 w:hRule="atLeast"/>
        </w:trPr>
        <w:tc>
          <w:tcPr>
            <w:tcW w:w="706" w:type="dxa"/>
            <w:vMerge w:val="continue"/>
            <w:tcBorders>
              <w:top w:val="single" w:color="auto" w:sz="4" w:space="0"/>
              <w:left w:val="single" w:color="auto" w:sz="12" w:space="0"/>
              <w:bottom w:val="single" w:color="auto" w:sz="12" w:space="0"/>
              <w:right w:val="single" w:color="auto" w:sz="4" w:space="0"/>
            </w:tcBorders>
            <w:shd w:val="clear" w:color="auto" w:fill="D8D8D8" w:themeFill="background1" w:themeFillShade="D9"/>
            <w:vAlign w:val="center"/>
          </w:tcPr>
          <w:p>
            <w:pPr>
              <w:widowControl/>
              <w:adjustRightInd w:val="0"/>
              <w:snapToGrid w:val="0"/>
              <w:jc w:val="center"/>
              <w:rPr>
                <w:rFonts w:cs="宋体" w:asciiTheme="minorEastAsia" w:hAnsiTheme="minorEastAsia" w:eastAsiaTheme="minorEastAsia"/>
                <w:kern w:val="0"/>
                <w:sz w:val="18"/>
                <w:szCs w:val="18"/>
              </w:rPr>
            </w:pPr>
          </w:p>
        </w:tc>
        <w:tc>
          <w:tcPr>
            <w:tcW w:w="1651" w:type="dxa"/>
            <w:tcBorders>
              <w:top w:val="single" w:color="auto" w:sz="4" w:space="0"/>
              <w:left w:val="single" w:color="auto" w:sz="4" w:space="0"/>
              <w:bottom w:val="single" w:color="auto" w:sz="12" w:space="0"/>
              <w:right w:val="single" w:color="auto" w:sz="4" w:space="0"/>
            </w:tcBorders>
            <w:shd w:val="clear" w:color="auto" w:fill="EEECE1" w:themeFill="background2"/>
            <w:noWrap/>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如发生巨额赎回，未成交部分选择</w:t>
            </w:r>
          </w:p>
        </w:tc>
        <w:tc>
          <w:tcPr>
            <w:tcW w:w="7957" w:type="dxa"/>
            <w:gridSpan w:val="29"/>
            <w:tcBorders>
              <w:top w:val="single" w:color="auto" w:sz="4" w:space="0"/>
              <w:left w:val="single" w:color="auto" w:sz="4" w:space="0"/>
              <w:bottom w:val="single" w:color="auto" w:sz="12" w:space="0"/>
              <w:right w:val="single" w:color="auto" w:sz="1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□撤消赎回申请          □顺延至下一开放日办理（不选择视为“顺延”）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8" w:hRule="atLeast"/>
        </w:trPr>
        <w:tc>
          <w:tcPr>
            <w:tcW w:w="706" w:type="dxa"/>
            <w:vMerge w:val="restart"/>
            <w:tcBorders>
              <w:top w:val="single" w:color="auto" w:sz="4" w:space="0"/>
              <w:left w:val="single" w:color="auto" w:sz="12" w:space="0"/>
              <w:right w:val="single" w:color="auto" w:sz="4" w:space="0"/>
            </w:tcBorders>
            <w:shd w:val="clear" w:color="auto" w:fill="EEECE1" w:themeFill="background2"/>
            <w:textDirection w:val="tbRlV"/>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40"/>
                <w:kern w:val="0"/>
                <w:sz w:val="18"/>
                <w:szCs w:val="18"/>
              </w:rPr>
              <w:t>撤单</w:t>
            </w:r>
          </w:p>
          <w:p>
            <w:pPr>
              <w:widowControl/>
              <w:adjustRightInd w:val="0"/>
              <w:snapToGrid w:val="0"/>
              <w:ind w:left="113" w:right="113"/>
              <w:jc w:val="center"/>
              <w:rPr>
                <w:rFonts w:cs="宋体" w:asciiTheme="minorEastAsia" w:hAnsiTheme="minorEastAsia" w:eastAsiaTheme="minorEastAsia"/>
                <w:spacing w:val="40"/>
                <w:kern w:val="0"/>
                <w:sz w:val="18"/>
                <w:szCs w:val="18"/>
              </w:rPr>
            </w:pPr>
            <w:r>
              <w:rPr>
                <w:rFonts w:hint="eastAsia" w:cs="宋体" w:asciiTheme="minorEastAsia" w:hAnsiTheme="minorEastAsia" w:eastAsiaTheme="minorEastAsia"/>
                <w:spacing w:val="20"/>
                <w:kern w:val="0"/>
                <w:sz w:val="18"/>
                <w:szCs w:val="18"/>
              </w:rPr>
              <w:t>□</w:t>
            </w:r>
          </w:p>
        </w:tc>
        <w:tc>
          <w:tcPr>
            <w:tcW w:w="1651" w:type="dxa"/>
            <w:tcBorders>
              <w:top w:val="single" w:color="auto" w:sz="4" w:space="0"/>
              <w:left w:val="single" w:color="auto" w:sz="4" w:space="0"/>
              <w:bottom w:val="single" w:color="auto" w:sz="2"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原申请</w:t>
            </w:r>
            <w:r>
              <w:rPr>
                <w:rFonts w:cs="宋体" w:asciiTheme="minorEastAsia" w:hAnsiTheme="minorEastAsia" w:eastAsiaTheme="minorEastAsia"/>
                <w:kern w:val="0"/>
                <w:sz w:val="18"/>
                <w:szCs w:val="18"/>
              </w:rPr>
              <w:t>编号</w:t>
            </w:r>
          </w:p>
        </w:tc>
        <w:tc>
          <w:tcPr>
            <w:tcW w:w="3709" w:type="dxa"/>
            <w:gridSpan w:val="13"/>
            <w:tcBorders>
              <w:top w:val="single" w:color="auto" w:sz="4" w:space="0"/>
              <w:left w:val="single" w:color="auto" w:sz="2" w:space="0"/>
              <w:bottom w:val="single" w:color="auto" w:sz="2" w:space="0"/>
              <w:right w:val="single" w:color="auto" w:sz="2" w:space="0"/>
            </w:tcBorders>
            <w:shd w:val="clear" w:color="auto" w:fill="auto"/>
            <w:vAlign w:val="center"/>
          </w:tcPr>
          <w:p>
            <w:pPr>
              <w:widowControl/>
              <w:adjustRightInd w:val="0"/>
              <w:snapToGrid w:val="0"/>
              <w:rPr>
                <w:rFonts w:cs="宋体" w:asciiTheme="minorEastAsia" w:hAnsiTheme="minorEastAsia" w:eastAsiaTheme="minorEastAsia"/>
                <w:kern w:val="0"/>
                <w:sz w:val="18"/>
                <w:szCs w:val="18"/>
                <w:u w:val="single"/>
              </w:rPr>
            </w:pPr>
          </w:p>
        </w:tc>
        <w:tc>
          <w:tcPr>
            <w:tcW w:w="1448" w:type="dxa"/>
            <w:gridSpan w:val="6"/>
            <w:tcBorders>
              <w:top w:val="single" w:color="auto" w:sz="4" w:space="0"/>
              <w:left w:val="single" w:color="auto" w:sz="2" w:space="0"/>
              <w:bottom w:val="single" w:color="auto" w:sz="2" w:space="0"/>
              <w:right w:val="single" w:color="auto" w:sz="2" w:space="0"/>
            </w:tcBorders>
            <w:shd w:val="clear" w:color="auto" w:fill="EEECE1" w:themeFill="background2"/>
            <w:vAlign w:val="center"/>
          </w:tcPr>
          <w:p>
            <w:pPr>
              <w:adjustRightInd w:val="0"/>
              <w:snapToGrid w:val="0"/>
              <w:jc w:val="center"/>
              <w:rPr>
                <w:rFonts w:cs="宋体" w:asciiTheme="minorEastAsia" w:hAnsiTheme="minorEastAsia" w:eastAsiaTheme="minorEastAsia"/>
                <w:kern w:val="0"/>
                <w:sz w:val="18"/>
                <w:szCs w:val="18"/>
                <w:u w:val="single"/>
              </w:rPr>
            </w:pPr>
            <w:r>
              <w:rPr>
                <w:rFonts w:hint="eastAsia" w:cs="宋体" w:asciiTheme="minorEastAsia" w:hAnsiTheme="minorEastAsia" w:eastAsiaTheme="minorEastAsia"/>
                <w:kern w:val="0"/>
                <w:sz w:val="18"/>
                <w:szCs w:val="18"/>
              </w:rPr>
              <w:t>业务</w:t>
            </w:r>
            <w:r>
              <w:rPr>
                <w:rFonts w:cs="宋体" w:asciiTheme="minorEastAsia" w:hAnsiTheme="minorEastAsia" w:eastAsiaTheme="minorEastAsia"/>
                <w:kern w:val="0"/>
                <w:sz w:val="18"/>
                <w:szCs w:val="18"/>
              </w:rPr>
              <w:t>类型</w:t>
            </w:r>
          </w:p>
        </w:tc>
        <w:tc>
          <w:tcPr>
            <w:tcW w:w="2800" w:type="dxa"/>
            <w:gridSpan w:val="10"/>
            <w:tcBorders>
              <w:top w:val="single" w:color="auto" w:sz="4" w:space="0"/>
              <w:left w:val="single" w:color="auto" w:sz="2" w:space="0"/>
              <w:bottom w:val="single" w:color="auto" w:sz="2" w:space="0"/>
              <w:right w:val="single" w:color="auto" w:sz="1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8" w:hRule="atLeast"/>
        </w:trPr>
        <w:tc>
          <w:tcPr>
            <w:tcW w:w="706" w:type="dxa"/>
            <w:vMerge w:val="continue"/>
            <w:tcBorders>
              <w:left w:val="single" w:color="auto" w:sz="12" w:space="0"/>
              <w:bottom w:val="single" w:color="auto" w:sz="12" w:space="0"/>
              <w:right w:val="single" w:color="auto" w:sz="4" w:space="0"/>
            </w:tcBorders>
            <w:shd w:val="clear" w:color="auto" w:fill="EEECE1" w:themeFill="background2"/>
            <w:vAlign w:val="center"/>
          </w:tcPr>
          <w:p>
            <w:pPr>
              <w:widowControl/>
              <w:adjustRightInd w:val="0"/>
              <w:snapToGrid w:val="0"/>
              <w:ind w:left="113" w:right="113"/>
              <w:jc w:val="center"/>
              <w:rPr>
                <w:rFonts w:cs="宋体" w:asciiTheme="minorEastAsia" w:hAnsiTheme="minorEastAsia" w:eastAsiaTheme="minorEastAsia"/>
                <w:spacing w:val="40"/>
                <w:kern w:val="0"/>
                <w:sz w:val="18"/>
                <w:szCs w:val="18"/>
              </w:rPr>
            </w:pPr>
          </w:p>
        </w:tc>
        <w:tc>
          <w:tcPr>
            <w:tcW w:w="1651" w:type="dxa"/>
            <w:tcBorders>
              <w:top w:val="single" w:color="auto" w:sz="2" w:space="0"/>
              <w:left w:val="single" w:color="auto" w:sz="4" w:space="0"/>
              <w:bottom w:val="single" w:color="auto" w:sz="12" w:space="0"/>
              <w:right w:val="single" w:color="auto" w:sz="2" w:space="0"/>
            </w:tcBorders>
            <w:shd w:val="clear" w:color="auto" w:fill="EEECE1" w:themeFill="background2"/>
            <w:noWrap/>
            <w:vAlign w:val="center"/>
          </w:tcPr>
          <w:p>
            <w:pPr>
              <w:widowControl/>
              <w:adjustRightInd w:val="0"/>
              <w:snapToGrid w:val="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w:t>
            </w:r>
            <w:r>
              <w:rPr>
                <w:rFonts w:cs="宋体" w:asciiTheme="minorEastAsia" w:hAnsiTheme="minorEastAsia" w:eastAsiaTheme="minorEastAsia"/>
                <w:kern w:val="0"/>
                <w:sz w:val="18"/>
                <w:szCs w:val="18"/>
              </w:rPr>
              <w:t>名称</w:t>
            </w:r>
          </w:p>
        </w:tc>
        <w:tc>
          <w:tcPr>
            <w:tcW w:w="3709" w:type="dxa"/>
            <w:gridSpan w:val="13"/>
            <w:tcBorders>
              <w:top w:val="single" w:color="auto" w:sz="2" w:space="0"/>
              <w:left w:val="single" w:color="auto" w:sz="2" w:space="0"/>
              <w:bottom w:val="single" w:color="auto" w:sz="12" w:space="0"/>
              <w:right w:val="single" w:color="auto" w:sz="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c>
          <w:tcPr>
            <w:tcW w:w="1448" w:type="dxa"/>
            <w:gridSpan w:val="6"/>
            <w:tcBorders>
              <w:top w:val="single" w:color="auto" w:sz="2" w:space="0"/>
              <w:left w:val="single" w:color="auto" w:sz="2" w:space="0"/>
              <w:bottom w:val="single" w:color="auto" w:sz="12" w:space="0"/>
              <w:right w:val="single" w:color="auto" w:sz="2" w:space="0"/>
            </w:tcBorders>
            <w:shd w:val="clear" w:color="auto" w:fill="EEECE1" w:themeFill="background2"/>
            <w:vAlign w:val="center"/>
          </w:tcPr>
          <w:p>
            <w:pPr>
              <w:adjustRightInd w:val="0"/>
              <w:snapToGrid w:val="0"/>
              <w:ind w:left="20"/>
              <w:jc w:val="center"/>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基金</w:t>
            </w:r>
            <w:r>
              <w:rPr>
                <w:rFonts w:cs="宋体" w:asciiTheme="minorEastAsia" w:hAnsiTheme="minorEastAsia" w:eastAsiaTheme="minorEastAsia"/>
                <w:kern w:val="0"/>
                <w:sz w:val="18"/>
                <w:szCs w:val="18"/>
              </w:rPr>
              <w:t>代码</w:t>
            </w:r>
          </w:p>
        </w:tc>
        <w:tc>
          <w:tcPr>
            <w:tcW w:w="2800" w:type="dxa"/>
            <w:gridSpan w:val="10"/>
            <w:tcBorders>
              <w:top w:val="single" w:color="auto" w:sz="2" w:space="0"/>
              <w:left w:val="single" w:color="auto" w:sz="2" w:space="0"/>
              <w:bottom w:val="single" w:color="auto" w:sz="12" w:space="0"/>
              <w:right w:val="single" w:color="auto" w:sz="12" w:space="0"/>
            </w:tcBorders>
            <w:shd w:val="clear" w:color="auto" w:fill="auto"/>
            <w:vAlign w:val="center"/>
          </w:tcPr>
          <w:p>
            <w:pPr>
              <w:adjustRightInd w:val="0"/>
              <w:snapToGrid w:val="0"/>
              <w:rPr>
                <w:rFonts w:cs="宋体" w:asciiTheme="minorEastAsia" w:hAnsiTheme="minorEastAsia" w:eastAsiaTheme="minorEastAsia"/>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76" w:hRule="atLeast"/>
        </w:trPr>
        <w:tc>
          <w:tcPr>
            <w:tcW w:w="5064" w:type="dxa"/>
            <w:gridSpan w:val="11"/>
            <w:tcBorders>
              <w:top w:val="single" w:color="auto" w:sz="12" w:space="0"/>
              <w:left w:val="single" w:color="auto" w:sz="12" w:space="0"/>
              <w:bottom w:val="single" w:color="auto" w:sz="12" w:space="0"/>
              <w:right w:val="single" w:color="auto" w:sz="4" w:space="0"/>
            </w:tcBorders>
            <w:shd w:val="clear" w:color="auto" w:fill="auto"/>
          </w:tcPr>
          <w:p>
            <w:pPr>
              <w:adjustRightInd w:val="0"/>
              <w:snapToGrid w:val="0"/>
              <w:spacing w:line="240" w:lineRule="exact"/>
              <w:jc w:val="left"/>
              <w:rPr>
                <w:rStyle w:val="15"/>
                <w:rFonts w:asciiTheme="minorEastAsia" w:hAnsiTheme="minorEastAsia" w:eastAsiaTheme="minorEastAsia"/>
                <w:sz w:val="18"/>
                <w:szCs w:val="18"/>
              </w:rPr>
            </w:pPr>
            <w:r>
              <w:rPr>
                <w:rStyle w:val="15"/>
                <w:rFonts w:hint="eastAsia" w:asciiTheme="minorEastAsia" w:hAnsiTheme="minorEastAsia" w:eastAsiaTheme="minorEastAsia"/>
                <w:sz w:val="18"/>
                <w:szCs w:val="18"/>
              </w:rPr>
              <w:t>特别提示：</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1、请在填写前详阅本公司所管理的证券投资基金《基金合同》、《招募说明书》、《基金产品资料概要》、《风险提示函》、业务规则等公告信息以及下述风险提示和业务办理指南。</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2、本公司恪守诚实信用、勤勉尽责的原则管理和运用基金资产，但不保证本公司管理的基金一定盈利，也不保证基金的最低收益。</w:t>
            </w:r>
          </w:p>
          <w:p>
            <w:pPr>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3、您可在当日15:00前申请撤销该笔交易。</w:t>
            </w:r>
          </w:p>
          <w:p>
            <w:pPr>
              <w:widowControl/>
              <w:adjustRightInd w:val="0"/>
              <w:snapToGrid w:val="0"/>
              <w:spacing w:line="240" w:lineRule="exact"/>
              <w:jc w:val="left"/>
              <w:rPr>
                <w:rFonts w:asciiTheme="minorEastAsia" w:hAnsiTheme="minorEastAsia" w:eastAsiaTheme="minorEastAsia"/>
                <w:b/>
                <w:sz w:val="18"/>
                <w:szCs w:val="18"/>
              </w:rPr>
            </w:pPr>
          </w:p>
          <w:p>
            <w:pPr>
              <w:widowControl/>
              <w:adjustRightInd w:val="0"/>
              <w:snapToGrid w:val="0"/>
              <w:spacing w:line="240" w:lineRule="exact"/>
              <w:jc w:val="left"/>
              <w:rPr>
                <w:rFonts w:asciiTheme="minorEastAsia" w:hAnsiTheme="minorEastAsia" w:eastAsiaTheme="minorEastAsia"/>
                <w:b/>
                <w:sz w:val="18"/>
                <w:szCs w:val="18"/>
              </w:rPr>
            </w:pPr>
            <w:r>
              <w:rPr>
                <w:rFonts w:hint="eastAsia" w:asciiTheme="minorEastAsia" w:hAnsiTheme="minorEastAsia" w:eastAsiaTheme="minorEastAsia"/>
                <w:b/>
                <w:sz w:val="18"/>
                <w:szCs w:val="18"/>
              </w:rPr>
              <w:t>投资者声明：</w:t>
            </w:r>
          </w:p>
          <w:p>
            <w:pPr>
              <w:widowControl/>
              <w:adjustRightInd w:val="0"/>
              <w:snapToGrid w:val="0"/>
              <w:spacing w:line="240" w:lineRule="exact"/>
              <w:jc w:val="left"/>
              <w:rPr>
                <w:rFonts w:asciiTheme="minorEastAsia" w:hAnsiTheme="minorEastAsia" w:eastAsiaTheme="minorEastAsia"/>
                <w:sz w:val="18"/>
                <w:szCs w:val="18"/>
              </w:rPr>
            </w:pPr>
            <w:r>
              <w:rPr>
                <w:rFonts w:hint="eastAsia" w:asciiTheme="minorEastAsia" w:hAnsiTheme="minorEastAsia" w:eastAsiaTheme="minorEastAsia"/>
                <w:sz w:val="18"/>
                <w:szCs w:val="18"/>
              </w:rPr>
              <w:t>本人已详细阅读本基金的《基金合同》、《招募说明书》、《基金产品资料概要》、《风险提示函》及最新公开说明，愿意接受上述文件的约束，并保证在本《业务申请书》中所提供的资料及信息真实、准确，保证依法有权投资贵公司基金，并且用于投资贵公司基金的资金来源合法。</w:t>
            </w:r>
          </w:p>
          <w:p>
            <w:pPr>
              <w:adjustRightInd w:val="0"/>
              <w:snapToGrid w:val="0"/>
              <w:spacing w:line="240" w:lineRule="exact"/>
              <w:rPr>
                <w:rStyle w:val="15"/>
                <w:rFonts w:asciiTheme="minorEastAsia" w:hAnsiTheme="minorEastAsia" w:eastAsiaTheme="minorEastAsia"/>
                <w:sz w:val="18"/>
                <w:szCs w:val="18"/>
              </w:rPr>
            </w:pPr>
          </w:p>
          <w:p>
            <w:pPr>
              <w:adjustRightInd w:val="0"/>
              <w:snapToGrid w:val="0"/>
              <w:spacing w:line="240" w:lineRule="exact"/>
              <w:rPr>
                <w:rFonts w:asciiTheme="minorEastAsia" w:hAnsiTheme="minorEastAsia" w:eastAsiaTheme="minorEastAsia"/>
                <w:bCs/>
                <w:sz w:val="18"/>
                <w:szCs w:val="18"/>
              </w:rPr>
            </w:pPr>
            <w:r>
              <w:rPr>
                <w:rStyle w:val="15"/>
                <w:rFonts w:hint="eastAsia" w:asciiTheme="minorEastAsia" w:hAnsiTheme="minorEastAsia" w:eastAsiaTheme="minorEastAsia"/>
                <w:sz w:val="18"/>
                <w:szCs w:val="18"/>
              </w:rPr>
              <w:t>个人投资者签字：</w:t>
            </w:r>
            <w:r>
              <w:rPr>
                <w:rStyle w:val="15"/>
                <w:rFonts w:hint="eastAsia" w:asciiTheme="minorEastAsia" w:hAnsiTheme="minorEastAsia" w:eastAsiaTheme="minorEastAsia"/>
                <w:b w:val="0"/>
                <w:sz w:val="18"/>
                <w:szCs w:val="18"/>
              </w:rPr>
              <w:t>（请与您的印鉴卡内容及笔迹保持一致）</w:t>
            </w:r>
          </w:p>
        </w:tc>
        <w:tc>
          <w:tcPr>
            <w:tcW w:w="5250" w:type="dxa"/>
            <w:gridSpan w:val="20"/>
            <w:tcBorders>
              <w:top w:val="single" w:color="auto" w:sz="12" w:space="0"/>
              <w:left w:val="single" w:color="auto" w:sz="4" w:space="0"/>
              <w:bottom w:val="single" w:color="auto" w:sz="12" w:space="0"/>
              <w:right w:val="single" w:color="auto" w:sz="12" w:space="0"/>
            </w:tcBorders>
            <w:shd w:val="clear" w:color="auto" w:fill="auto"/>
          </w:tcPr>
          <w:p>
            <w:pPr>
              <w:adjustRightInd w:val="0"/>
              <w:snapToGrid w:val="0"/>
              <w:spacing w:line="240" w:lineRule="atLeast"/>
              <w:jc w:val="left"/>
              <w:rPr>
                <w:rFonts w:asciiTheme="minorEastAsia" w:hAnsiTheme="minorEastAsia" w:eastAsiaTheme="minorEastAsia"/>
                <w:b/>
                <w:bCs/>
                <w:sz w:val="18"/>
                <w:szCs w:val="18"/>
              </w:rPr>
            </w:pPr>
            <w:r>
              <w:rPr>
                <w:rFonts w:hint="eastAsia" w:asciiTheme="minorEastAsia" w:hAnsiTheme="minorEastAsia" w:eastAsiaTheme="minorEastAsia"/>
                <w:b/>
                <w:bCs/>
                <w:sz w:val="18"/>
                <w:szCs w:val="18"/>
              </w:rPr>
              <w:t>投资者风险承受能力与认/申购基金风险程度不匹配时的特别提示：</w:t>
            </w:r>
          </w:p>
          <w:p>
            <w:pPr>
              <w:adjustRightInd w:val="0"/>
              <w:snapToGrid w:val="0"/>
              <w:spacing w:line="240" w:lineRule="atLeast"/>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经贵公司风险测评，本人风险承受能力为（C1、C2、C3、C4、C5），不属于最低风险承受能力的投资者，现本人自愿认</w:t>
            </w:r>
            <w:r>
              <w:rPr>
                <w:rFonts w:asciiTheme="minorEastAsia" w:hAnsiTheme="minorEastAsia" w:eastAsiaTheme="minorEastAsia"/>
                <w:sz w:val="18"/>
                <w:szCs w:val="18"/>
              </w:rPr>
              <w:t>购</w:t>
            </w:r>
            <w:r>
              <w:rPr>
                <w:rFonts w:hint="eastAsia" w:asciiTheme="minorEastAsia" w:hAnsiTheme="minorEastAsia" w:eastAsiaTheme="minorEastAsia"/>
                <w:sz w:val="18"/>
                <w:szCs w:val="18"/>
              </w:rPr>
              <w:t>/申购______</w:t>
            </w:r>
            <w:r>
              <w:rPr>
                <w:rFonts w:asciiTheme="minorEastAsia" w:hAnsiTheme="minorEastAsia" w:eastAsiaTheme="minorEastAsia"/>
                <w:sz w:val="18"/>
                <w:szCs w:val="18"/>
              </w:rPr>
              <w:t>_</w:t>
            </w:r>
            <w:r>
              <w:rPr>
                <w:rFonts w:hint="eastAsia" w:asciiTheme="minorEastAsia" w:hAnsiTheme="minorEastAsia" w:eastAsiaTheme="minorEastAsia"/>
                <w:sz w:val="18"/>
                <w:szCs w:val="18"/>
              </w:rPr>
              <w:t>基金，该基金风险等级为______，风险等级大于本人风险承受能力。</w:t>
            </w:r>
          </w:p>
          <w:p>
            <w:pPr>
              <w:adjustRightInd w:val="0"/>
              <w:snapToGrid w:val="0"/>
              <w:spacing w:line="240" w:lineRule="atLeast"/>
              <w:ind w:firstLine="361" w:firstLineChars="200"/>
              <w:jc w:val="left"/>
              <w:rPr>
                <w:rFonts w:asciiTheme="minorEastAsia" w:hAnsiTheme="minorEastAsia" w:eastAsiaTheme="minorEastAsia"/>
                <w:b/>
                <w:sz w:val="18"/>
                <w:szCs w:val="18"/>
              </w:rPr>
            </w:pPr>
            <w:r>
              <w:rPr>
                <w:rFonts w:hint="eastAsia" w:asciiTheme="minorEastAsia" w:hAnsiTheme="minorEastAsia" w:eastAsiaTheme="minorEastAsia"/>
                <w:b/>
                <w:sz w:val="18"/>
                <w:szCs w:val="18"/>
              </w:rPr>
              <w:t>本人确认贵单位已告知本基金风险等级超过本人承受能力，本人已充分了解该产品的风险特征，仍然坚持购买______</w:t>
            </w:r>
            <w:r>
              <w:rPr>
                <w:rFonts w:asciiTheme="minorEastAsia" w:hAnsiTheme="minorEastAsia" w:eastAsiaTheme="minorEastAsia"/>
                <w:b/>
                <w:sz w:val="18"/>
                <w:szCs w:val="18"/>
              </w:rPr>
              <w:t>_</w:t>
            </w:r>
            <w:r>
              <w:rPr>
                <w:rFonts w:hint="eastAsia" w:asciiTheme="minorEastAsia" w:hAnsiTheme="minorEastAsia" w:eastAsiaTheme="minorEastAsia"/>
                <w:b/>
                <w:sz w:val="18"/>
                <w:szCs w:val="18"/>
              </w:rPr>
              <w:t>基金，自愿承担一切可能的不利后果，销售过程中销售机构不存在直接或间接主动向本人推介该产品的行为。</w:t>
            </w:r>
          </w:p>
          <w:p>
            <w:pPr>
              <w:adjustRightInd w:val="0"/>
              <w:snapToGrid w:val="0"/>
              <w:spacing w:line="240" w:lineRule="atLeast"/>
              <w:ind w:firstLine="360" w:firstLineChars="200"/>
              <w:jc w:val="left"/>
              <w:rPr>
                <w:rFonts w:asciiTheme="minorEastAsia" w:hAnsiTheme="minorEastAsia" w:eastAsiaTheme="minorEastAsia"/>
                <w:sz w:val="18"/>
                <w:szCs w:val="18"/>
                <w:u w:val="single"/>
              </w:rPr>
            </w:pPr>
            <w:r>
              <w:rPr>
                <w:rFonts w:hint="eastAsia" w:asciiTheme="minorEastAsia" w:hAnsiTheme="minorEastAsia" w:eastAsiaTheme="minorEastAsia"/>
                <w:sz w:val="18"/>
                <w:szCs w:val="18"/>
                <w:u w:val="single"/>
              </w:rPr>
              <w:t>请抄写上述粗体字内容：</w:t>
            </w:r>
          </w:p>
          <w:p>
            <w:pPr>
              <w:adjustRightInd w:val="0"/>
              <w:snapToGrid w:val="0"/>
              <w:spacing w:line="240" w:lineRule="atLeast"/>
              <w:jc w:val="left"/>
              <w:rPr>
                <w:rStyle w:val="15"/>
                <w:rFonts w:asciiTheme="minorEastAsia" w:hAnsiTheme="minorEastAsia" w:eastAsiaTheme="minorEastAsia"/>
                <w:b w:val="0"/>
                <w:bCs w:val="0"/>
                <w:sz w:val="18"/>
                <w:szCs w:val="18"/>
              </w:rPr>
            </w:pPr>
          </w:p>
          <w:p>
            <w:pPr>
              <w:adjustRightInd w:val="0"/>
              <w:snapToGrid w:val="0"/>
              <w:spacing w:line="240" w:lineRule="atLeast"/>
              <w:jc w:val="left"/>
              <w:rPr>
                <w:rStyle w:val="15"/>
                <w:rFonts w:asciiTheme="minorEastAsia" w:hAnsiTheme="minorEastAsia" w:eastAsiaTheme="minorEastAsia"/>
                <w:b w:val="0"/>
                <w:bCs w:val="0"/>
                <w:sz w:val="18"/>
                <w:szCs w:val="18"/>
              </w:rPr>
            </w:pPr>
          </w:p>
          <w:p>
            <w:pPr>
              <w:adjustRightInd w:val="0"/>
              <w:snapToGrid w:val="0"/>
              <w:spacing w:line="240" w:lineRule="atLeast"/>
              <w:jc w:val="left"/>
              <w:rPr>
                <w:rStyle w:val="15"/>
                <w:rFonts w:asciiTheme="minorEastAsia" w:hAnsiTheme="minorEastAsia" w:eastAsiaTheme="minorEastAsia"/>
                <w:b w:val="0"/>
                <w:bCs w:val="0"/>
                <w:sz w:val="18"/>
                <w:szCs w:val="18"/>
              </w:rPr>
            </w:pPr>
          </w:p>
          <w:p>
            <w:pPr>
              <w:adjustRightInd w:val="0"/>
              <w:snapToGrid w:val="0"/>
              <w:spacing w:line="240" w:lineRule="atLeast"/>
              <w:jc w:val="left"/>
              <w:rPr>
                <w:rStyle w:val="15"/>
                <w:rFonts w:asciiTheme="minorEastAsia" w:hAnsiTheme="minorEastAsia" w:eastAsiaTheme="minorEastAsia"/>
                <w:sz w:val="18"/>
                <w:szCs w:val="18"/>
              </w:rPr>
            </w:pPr>
          </w:p>
          <w:p>
            <w:pPr>
              <w:adjustRightInd w:val="0"/>
              <w:snapToGrid w:val="0"/>
              <w:spacing w:line="240" w:lineRule="atLeast"/>
              <w:jc w:val="left"/>
              <w:rPr>
                <w:rStyle w:val="15"/>
                <w:rFonts w:asciiTheme="minorEastAsia" w:hAnsiTheme="minorEastAsia" w:eastAsiaTheme="minorEastAsia"/>
                <w:sz w:val="18"/>
                <w:szCs w:val="18"/>
              </w:rPr>
            </w:pPr>
          </w:p>
          <w:p>
            <w:pPr>
              <w:adjustRightInd w:val="0"/>
              <w:snapToGrid w:val="0"/>
              <w:spacing w:line="240" w:lineRule="atLeast"/>
              <w:jc w:val="left"/>
              <w:rPr>
                <w:rFonts w:asciiTheme="minorEastAsia" w:hAnsiTheme="minorEastAsia" w:eastAsiaTheme="minorEastAsia"/>
                <w:sz w:val="18"/>
                <w:szCs w:val="18"/>
              </w:rPr>
            </w:pPr>
            <w:r>
              <w:rPr>
                <w:rStyle w:val="15"/>
                <w:rFonts w:hint="eastAsia" w:asciiTheme="minorEastAsia" w:hAnsiTheme="minorEastAsia" w:eastAsiaTheme="minorEastAsia"/>
                <w:sz w:val="18"/>
                <w:szCs w:val="18"/>
              </w:rPr>
              <w:t>个人投资者签字：</w:t>
            </w:r>
            <w:r>
              <w:rPr>
                <w:rStyle w:val="15"/>
                <w:rFonts w:hint="eastAsia" w:asciiTheme="minorEastAsia" w:hAnsiTheme="minorEastAsia" w:eastAsiaTheme="minorEastAsia"/>
                <w:b w:val="0"/>
                <w:sz w:val="18"/>
                <w:szCs w:val="18"/>
              </w:rPr>
              <w:t>（请与您的印鉴卡内容及笔迹保持一致）</w:t>
            </w:r>
          </w:p>
        </w:tc>
      </w:tr>
    </w:tbl>
    <w:p>
      <w:pPr>
        <w:tabs>
          <w:tab w:val="left" w:pos="4678"/>
        </w:tabs>
        <w:ind w:right="420" w:firstLine="180" w:firstLineChars="100"/>
        <w:jc w:val="left"/>
        <w:rPr>
          <w:rFonts w:asciiTheme="minorEastAsia" w:hAnsiTheme="minorEastAsia" w:eastAsiaTheme="minorEastAsia"/>
          <w:sz w:val="18"/>
          <w:szCs w:val="18"/>
        </w:rPr>
      </w:pPr>
    </w:p>
    <w:p>
      <w:pPr>
        <w:tabs>
          <w:tab w:val="left" w:pos="4678"/>
        </w:tabs>
        <w:ind w:right="420" w:firstLine="180" w:firstLineChars="100"/>
        <w:jc w:val="left"/>
        <w:rPr>
          <w:sz w:val="18"/>
          <w:szCs w:val="18"/>
        </w:rPr>
      </w:pPr>
      <w:r>
        <w:rPr>
          <w:rFonts w:hint="eastAsia"/>
          <w:sz w:val="18"/>
          <w:szCs w:val="18"/>
        </w:rPr>
        <w:t xml:space="preserve">柜台录入： </w:t>
      </w:r>
      <w:r>
        <w:rPr>
          <w:sz w:val="18"/>
          <w:szCs w:val="18"/>
        </w:rPr>
        <w:t xml:space="preserve">                              </w:t>
      </w:r>
      <w:r>
        <w:rPr>
          <w:rFonts w:hint="eastAsia"/>
          <w:sz w:val="18"/>
          <w:szCs w:val="18"/>
        </w:rPr>
        <w:t>柜台复核：</w:t>
      </w:r>
    </w:p>
    <w:p>
      <w:pPr>
        <w:jc w:val="center"/>
        <w:rPr>
          <w:rFonts w:ascii="微软雅黑" w:hAnsi="微软雅黑" w:eastAsia="微软雅黑"/>
          <w:b/>
          <w:sz w:val="32"/>
          <w:szCs w:val="30"/>
        </w:rPr>
      </w:pPr>
      <w:r>
        <w:rPr>
          <w:rFonts w:hint="eastAsia" w:ascii="微软雅黑" w:hAnsi="微软雅黑" w:eastAsia="微软雅黑"/>
          <w:b/>
          <w:sz w:val="32"/>
          <w:szCs w:val="30"/>
        </w:rPr>
        <w:t>风险提示函</w:t>
      </w:r>
    </w:p>
    <w:p>
      <w:pPr>
        <w:ind w:firstLine="420" w:firstLineChars="200"/>
      </w:pPr>
      <w:r>
        <w:rPr>
          <w:rFonts w:hint="eastAsia"/>
        </w:rPr>
        <w:t>一、证券投资基金（以下简称“基金”）是一种长期投资工具，其主要功能是分散投资，降低投资单一证券所带来的个别风险。基金不同于银行储蓄和债券等能够提供固定收益预期的金融工具，本投资者购买基金，既可能按其持有份额分享基金投资所产生的收益，也可能承担基金投资所带来的损失。</w:t>
      </w:r>
    </w:p>
    <w:p>
      <w:pPr>
        <w:ind w:firstLine="420" w:firstLineChars="200"/>
      </w:pPr>
      <w:r>
        <w:rPr>
          <w:rFonts w:hint="eastAsia"/>
        </w:rPr>
        <w:t>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定期开放基金百分之二十）时，本投资者将可能无法及时赎回持有的全部基金份额。</w:t>
      </w:r>
    </w:p>
    <w:p>
      <w:pPr>
        <w:ind w:firstLine="420" w:firstLineChars="200"/>
      </w:pPr>
      <w:r>
        <w:rPr>
          <w:rFonts w:hint="eastAsia"/>
        </w:rPr>
        <w:t>三、基金分为股票基金、混合基金、债券基金、货币市场基金等不同类型，投资人投资不同类型的基金将获得不同的收益预期，也将承担不同程度的风险。一般来说，基金的收益预期越高，投资人承担的风险也越大。货币市场基金不等于资金作为存款存放在银行或存款类金融机构，基金管理公司不保证一定盈利，也不保证最低收益。</w:t>
      </w:r>
    </w:p>
    <w:p>
      <w:pPr>
        <w:ind w:firstLine="420" w:firstLineChars="200"/>
      </w:pPr>
      <w:r>
        <w:rPr>
          <w:rFonts w:hint="eastAsia"/>
        </w:rPr>
        <w:t>四、投资人应当认真阅读基金合同、基金招募说明书和基金产品资料概要等基金法律文件，了解基金的风险收益特征，并根据自身的投资目的、投资期限、投资经验、资产状况等判断基金是否和投资人的风险承受能力相适应。</w:t>
      </w:r>
    </w:p>
    <w:p>
      <w:pPr>
        <w:ind w:firstLine="420" w:firstLineChars="200"/>
      </w:pPr>
      <w:r>
        <w:rPr>
          <w:rFonts w:hint="eastAsia"/>
        </w:rPr>
        <w:t>五、投资人应当充分了解基金定期定额投资和零存整取等储蓄方式的区别。定期定额投资是引导投资人进行长期投资、平均投资成本的一种简单易行的投资方式。但是定期定额投资并不能规避基金投资所固有的风险，不能保证投资人获得收益，也不是替代储蓄的等效理财方式。</w:t>
      </w:r>
    </w:p>
    <w:p>
      <w:pPr>
        <w:ind w:firstLine="420" w:firstLineChars="200"/>
      </w:pPr>
      <w:r>
        <w:rPr>
          <w:rFonts w:hint="eastAsia"/>
        </w:rPr>
        <w:t>六、本基金管理人承诺以诚实信用、勤勉尽责的原则管理和运用基金资产，但不保证基金一定盈利，也不保证最低收益。基金的过往业绩及其净值高低并不预示其未来业绩表现，我司管理的各基金的业绩不构成对旗下其他基金业绩表现的保证。基金投资实行“买者自负”原则，在做出投资决策后，基金运营状况与基金净值变化引致的投资风险，由投资人自行负担。基金管理人、基金托管人、基金销售机构及相关机构不对基金投资收益做出任何承诺或保证。</w:t>
      </w:r>
    </w:p>
    <w:p>
      <w:pPr>
        <w:ind w:firstLine="420" w:firstLineChars="200"/>
      </w:pPr>
      <w:r>
        <w:rPr>
          <w:rFonts w:hint="eastAsia"/>
        </w:rPr>
        <w:t>七、投资人应当通过基金管理人或具有基金代销业务资格的其他机构认/申购和赎回基金，基金代销机构名单详见基金管理人网站公示。</w:t>
      </w:r>
    </w:p>
    <w:p>
      <w:pPr>
        <w:tabs>
          <w:tab w:val="left" w:pos="4678"/>
        </w:tabs>
        <w:ind w:right="420" w:firstLine="180" w:firstLineChars="100"/>
        <w:jc w:val="left"/>
        <w:rPr>
          <w:sz w:val="18"/>
          <w:szCs w:val="18"/>
        </w:rPr>
      </w:pPr>
    </w:p>
    <w:p>
      <w:pPr>
        <w:jc w:val="center"/>
        <w:rPr>
          <w:rFonts w:ascii="微软雅黑" w:hAnsi="微软雅黑" w:eastAsia="微软雅黑"/>
          <w:b/>
          <w:sz w:val="32"/>
          <w:szCs w:val="30"/>
        </w:rPr>
      </w:pPr>
      <w:r>
        <w:rPr>
          <w:rFonts w:hint="eastAsia" w:ascii="微软雅黑" w:hAnsi="微软雅黑" w:eastAsia="微软雅黑"/>
          <w:b/>
          <w:sz w:val="32"/>
          <w:szCs w:val="30"/>
        </w:rPr>
        <w:t>业务提示</w:t>
      </w:r>
    </w:p>
    <w:p>
      <w:pPr>
        <w:ind w:firstLine="420" w:firstLineChars="200"/>
      </w:pPr>
      <w:r>
        <w:rPr>
          <w:rFonts w:hint="eastAsia"/>
        </w:rPr>
        <w:t>1、国新国证基金直销专用收款账户信息：汇款转账的“收款人”填写为“</w:t>
      </w:r>
      <w:r>
        <w:rPr>
          <w:rFonts w:hint="eastAsia"/>
          <w:lang w:val="en-US" w:eastAsia="zh-CN"/>
        </w:rPr>
        <w:t>国新国证</w:t>
      </w:r>
      <w:bookmarkStart w:id="0" w:name="_GoBack"/>
      <w:bookmarkEnd w:id="0"/>
      <w:r>
        <w:rPr>
          <w:rFonts w:hint="eastAsia"/>
        </w:rPr>
        <w:t>基金管理有限公司”；账号填写为“11041601040022481”；开户行名称“中国农业银行股份有限公司北京朝阳支行营业部”；汇款金额为提交交易申请时填写的“申购金额”。</w:t>
      </w:r>
    </w:p>
    <w:p>
      <w:pPr>
        <w:ind w:firstLine="420" w:firstLineChars="200"/>
      </w:pPr>
      <w:r>
        <w:rPr>
          <w:rFonts w:hint="eastAsia"/>
        </w:rPr>
        <w:t>2、汇款转账时间要求：交易申请当天15：00前（认购、申购均为该时间）转账到本公司直销专用账户。由于银行转账有时间延迟，请预留足够转账时间，并选择实时转账方式，没有及时足额到账的申请将视为无效申请。建议您在下单日14:30点前汇入资金，15:00前未足额资金到账，将会导致交易失败。</w:t>
      </w:r>
    </w:p>
    <w:p>
      <w:pPr>
        <w:ind w:firstLine="420" w:firstLineChars="200"/>
      </w:pPr>
      <w:r>
        <w:rPr>
          <w:rFonts w:hint="eastAsia"/>
        </w:rPr>
        <w:t>2、汇款转出银行卡要求：与柜台开户填写的银行卡信息保持一致，否则汇款资金将无法确认，将会导致交易失败。若您的资金在其他银行卡上，可以申请新增交易账号，再重新提交申请。</w:t>
      </w:r>
    </w:p>
    <w:p>
      <w:pPr>
        <w:ind w:firstLine="420" w:firstLineChars="200"/>
      </w:pPr>
    </w:p>
    <w:sectPr>
      <w:headerReference r:id="rId3" w:type="default"/>
      <w:footerReference r:id="rId4"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9322121"/>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rPr>
              <w:fldChar w:fldCharType="begin"/>
            </w:r>
            <w:r>
              <w:rPr>
                <w:b/>
                <w:bCs/>
              </w:rPr>
              <w:instrText xml:space="preserve">PAGE</w:instrText>
            </w:r>
            <w:r>
              <w:rPr>
                <w:b/>
                <w:bCs/>
              </w:rPr>
              <w:fldChar w:fldCharType="separate"/>
            </w:r>
            <w:r>
              <w:rPr>
                <w:b/>
                <w:bCs/>
              </w:rPr>
              <w:t>1</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2</w:t>
            </w:r>
            <w:r>
              <w:rPr>
                <w:b/>
                <w:bCs/>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微软雅黑" w:hAnsi="微软雅黑" w:eastAsia="微软雅黑" w:cs="宋体"/>
        <w:sz w:val="32"/>
        <w:szCs w:val="32"/>
      </w:rPr>
      <w:drawing>
        <wp:anchor distT="0" distB="0" distL="114300" distR="114300" simplePos="0" relativeHeight="251659264" behindDoc="0" locked="0" layoutInCell="1" allowOverlap="1">
          <wp:simplePos x="0" y="0"/>
          <wp:positionH relativeFrom="column">
            <wp:posOffset>6350</wp:posOffset>
          </wp:positionH>
          <wp:positionV relativeFrom="paragraph">
            <wp:posOffset>-320040</wp:posOffset>
          </wp:positionV>
          <wp:extent cx="1800225" cy="364490"/>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800000" cy="364677"/>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52BF"/>
    <w:rsid w:val="00017110"/>
    <w:rsid w:val="00023495"/>
    <w:rsid w:val="00023D45"/>
    <w:rsid w:val="00024FCB"/>
    <w:rsid w:val="00033404"/>
    <w:rsid w:val="00047417"/>
    <w:rsid w:val="000544B1"/>
    <w:rsid w:val="00062264"/>
    <w:rsid w:val="00071486"/>
    <w:rsid w:val="00071A36"/>
    <w:rsid w:val="00092E2E"/>
    <w:rsid w:val="0009444D"/>
    <w:rsid w:val="000A0279"/>
    <w:rsid w:val="000A1722"/>
    <w:rsid w:val="000C19B0"/>
    <w:rsid w:val="000C1FEA"/>
    <w:rsid w:val="000C2F46"/>
    <w:rsid w:val="000E1BA5"/>
    <w:rsid w:val="000E25D1"/>
    <w:rsid w:val="000F10FA"/>
    <w:rsid w:val="000F649C"/>
    <w:rsid w:val="00104C67"/>
    <w:rsid w:val="0013280A"/>
    <w:rsid w:val="00143D33"/>
    <w:rsid w:val="0016289B"/>
    <w:rsid w:val="0016370C"/>
    <w:rsid w:val="00164DF6"/>
    <w:rsid w:val="00166CFA"/>
    <w:rsid w:val="00177B5F"/>
    <w:rsid w:val="00180CCF"/>
    <w:rsid w:val="001A146A"/>
    <w:rsid w:val="001A1E4E"/>
    <w:rsid w:val="001B029A"/>
    <w:rsid w:val="001B6697"/>
    <w:rsid w:val="001C0A23"/>
    <w:rsid w:val="001C30A1"/>
    <w:rsid w:val="001D7BAD"/>
    <w:rsid w:val="001E4E2E"/>
    <w:rsid w:val="001F75D2"/>
    <w:rsid w:val="00202C6D"/>
    <w:rsid w:val="00203083"/>
    <w:rsid w:val="00212B80"/>
    <w:rsid w:val="00217E30"/>
    <w:rsid w:val="00223812"/>
    <w:rsid w:val="00227501"/>
    <w:rsid w:val="00243884"/>
    <w:rsid w:val="00247468"/>
    <w:rsid w:val="00291C32"/>
    <w:rsid w:val="002948BB"/>
    <w:rsid w:val="002A1232"/>
    <w:rsid w:val="002A39A9"/>
    <w:rsid w:val="002D28A7"/>
    <w:rsid w:val="002D3771"/>
    <w:rsid w:val="002D4E57"/>
    <w:rsid w:val="002E01EE"/>
    <w:rsid w:val="002E1D1C"/>
    <w:rsid w:val="002E4067"/>
    <w:rsid w:val="002E71D1"/>
    <w:rsid w:val="002F4186"/>
    <w:rsid w:val="002F4BF1"/>
    <w:rsid w:val="003274AC"/>
    <w:rsid w:val="003564C9"/>
    <w:rsid w:val="00375F74"/>
    <w:rsid w:val="00392F18"/>
    <w:rsid w:val="00395659"/>
    <w:rsid w:val="003B00CF"/>
    <w:rsid w:val="003B434B"/>
    <w:rsid w:val="003C7016"/>
    <w:rsid w:val="003D69D7"/>
    <w:rsid w:val="003E66A5"/>
    <w:rsid w:val="003F5C91"/>
    <w:rsid w:val="003F5CC4"/>
    <w:rsid w:val="004037E3"/>
    <w:rsid w:val="00421AFD"/>
    <w:rsid w:val="0042331B"/>
    <w:rsid w:val="004337BE"/>
    <w:rsid w:val="00444C4E"/>
    <w:rsid w:val="00477CC7"/>
    <w:rsid w:val="004823B5"/>
    <w:rsid w:val="0049652A"/>
    <w:rsid w:val="004B000A"/>
    <w:rsid w:val="004E1924"/>
    <w:rsid w:val="00515D79"/>
    <w:rsid w:val="00544D6F"/>
    <w:rsid w:val="00566DA6"/>
    <w:rsid w:val="0057436C"/>
    <w:rsid w:val="0058136D"/>
    <w:rsid w:val="005901AB"/>
    <w:rsid w:val="00591C7F"/>
    <w:rsid w:val="005E0F41"/>
    <w:rsid w:val="005E7DF2"/>
    <w:rsid w:val="005E7E3E"/>
    <w:rsid w:val="0060229D"/>
    <w:rsid w:val="00606B3E"/>
    <w:rsid w:val="00626F7E"/>
    <w:rsid w:val="006270AB"/>
    <w:rsid w:val="00641296"/>
    <w:rsid w:val="006455F0"/>
    <w:rsid w:val="00646C08"/>
    <w:rsid w:val="006617EE"/>
    <w:rsid w:val="006729CE"/>
    <w:rsid w:val="006744E1"/>
    <w:rsid w:val="00682027"/>
    <w:rsid w:val="00684B98"/>
    <w:rsid w:val="006947BE"/>
    <w:rsid w:val="00695A41"/>
    <w:rsid w:val="006A50DF"/>
    <w:rsid w:val="006A5813"/>
    <w:rsid w:val="006A73B7"/>
    <w:rsid w:val="006D34AA"/>
    <w:rsid w:val="006E2CE6"/>
    <w:rsid w:val="0070410C"/>
    <w:rsid w:val="007105F2"/>
    <w:rsid w:val="00711D12"/>
    <w:rsid w:val="00713A5E"/>
    <w:rsid w:val="007141F4"/>
    <w:rsid w:val="00716568"/>
    <w:rsid w:val="00723B77"/>
    <w:rsid w:val="00727859"/>
    <w:rsid w:val="0073094E"/>
    <w:rsid w:val="0074387A"/>
    <w:rsid w:val="00750BFE"/>
    <w:rsid w:val="007630A0"/>
    <w:rsid w:val="00767490"/>
    <w:rsid w:val="0079302F"/>
    <w:rsid w:val="007B4AD4"/>
    <w:rsid w:val="007C11E8"/>
    <w:rsid w:val="007D7DA6"/>
    <w:rsid w:val="00802116"/>
    <w:rsid w:val="00806B40"/>
    <w:rsid w:val="0081114C"/>
    <w:rsid w:val="00812358"/>
    <w:rsid w:val="008140F0"/>
    <w:rsid w:val="00821CB6"/>
    <w:rsid w:val="00835822"/>
    <w:rsid w:val="00857FF4"/>
    <w:rsid w:val="008601BC"/>
    <w:rsid w:val="0086658C"/>
    <w:rsid w:val="008821BF"/>
    <w:rsid w:val="008876E1"/>
    <w:rsid w:val="008925B0"/>
    <w:rsid w:val="008940D2"/>
    <w:rsid w:val="008A245B"/>
    <w:rsid w:val="008B1C5D"/>
    <w:rsid w:val="008B56DB"/>
    <w:rsid w:val="008C5781"/>
    <w:rsid w:val="008C7769"/>
    <w:rsid w:val="008E1ABA"/>
    <w:rsid w:val="008F187B"/>
    <w:rsid w:val="008F4924"/>
    <w:rsid w:val="009018C7"/>
    <w:rsid w:val="009101A9"/>
    <w:rsid w:val="0091025B"/>
    <w:rsid w:val="009203E8"/>
    <w:rsid w:val="009249DD"/>
    <w:rsid w:val="00937849"/>
    <w:rsid w:val="00946C9F"/>
    <w:rsid w:val="009763C9"/>
    <w:rsid w:val="009928B2"/>
    <w:rsid w:val="0099384D"/>
    <w:rsid w:val="00995BFF"/>
    <w:rsid w:val="009B03F0"/>
    <w:rsid w:val="009C3231"/>
    <w:rsid w:val="009C40D2"/>
    <w:rsid w:val="009C79AA"/>
    <w:rsid w:val="009D1462"/>
    <w:rsid w:val="009D78F7"/>
    <w:rsid w:val="009E43DD"/>
    <w:rsid w:val="009F3CA1"/>
    <w:rsid w:val="00A0069A"/>
    <w:rsid w:val="00A05C1D"/>
    <w:rsid w:val="00A075EA"/>
    <w:rsid w:val="00A16785"/>
    <w:rsid w:val="00A33288"/>
    <w:rsid w:val="00A43ED0"/>
    <w:rsid w:val="00A51767"/>
    <w:rsid w:val="00A660CB"/>
    <w:rsid w:val="00A67D1A"/>
    <w:rsid w:val="00A76A05"/>
    <w:rsid w:val="00A77B5F"/>
    <w:rsid w:val="00A86FD5"/>
    <w:rsid w:val="00A90A68"/>
    <w:rsid w:val="00A91641"/>
    <w:rsid w:val="00AB01D1"/>
    <w:rsid w:val="00AC3FC4"/>
    <w:rsid w:val="00AE10A1"/>
    <w:rsid w:val="00AF52C4"/>
    <w:rsid w:val="00B02703"/>
    <w:rsid w:val="00B1745D"/>
    <w:rsid w:val="00B20B8E"/>
    <w:rsid w:val="00B27C49"/>
    <w:rsid w:val="00B70BFE"/>
    <w:rsid w:val="00B837EA"/>
    <w:rsid w:val="00BA252C"/>
    <w:rsid w:val="00BA5EA6"/>
    <w:rsid w:val="00BB2245"/>
    <w:rsid w:val="00BB3F59"/>
    <w:rsid w:val="00BB57EE"/>
    <w:rsid w:val="00BE3982"/>
    <w:rsid w:val="00C00752"/>
    <w:rsid w:val="00C04827"/>
    <w:rsid w:val="00C127B8"/>
    <w:rsid w:val="00C15F37"/>
    <w:rsid w:val="00C23B03"/>
    <w:rsid w:val="00C26D80"/>
    <w:rsid w:val="00C27022"/>
    <w:rsid w:val="00C3706B"/>
    <w:rsid w:val="00C466D2"/>
    <w:rsid w:val="00C50818"/>
    <w:rsid w:val="00C83BE1"/>
    <w:rsid w:val="00C90BB6"/>
    <w:rsid w:val="00CB42B8"/>
    <w:rsid w:val="00CD1F36"/>
    <w:rsid w:val="00CD343D"/>
    <w:rsid w:val="00CE1458"/>
    <w:rsid w:val="00CE2C77"/>
    <w:rsid w:val="00CE3C33"/>
    <w:rsid w:val="00D11B8D"/>
    <w:rsid w:val="00D21E94"/>
    <w:rsid w:val="00D36441"/>
    <w:rsid w:val="00D3719B"/>
    <w:rsid w:val="00D5549C"/>
    <w:rsid w:val="00D63D37"/>
    <w:rsid w:val="00D74EE8"/>
    <w:rsid w:val="00D847FA"/>
    <w:rsid w:val="00D94B1A"/>
    <w:rsid w:val="00DB5499"/>
    <w:rsid w:val="00DB710F"/>
    <w:rsid w:val="00DD08CB"/>
    <w:rsid w:val="00DD2266"/>
    <w:rsid w:val="00DE0F20"/>
    <w:rsid w:val="00DF0D90"/>
    <w:rsid w:val="00DF2ECA"/>
    <w:rsid w:val="00E00E56"/>
    <w:rsid w:val="00E12C2B"/>
    <w:rsid w:val="00E21B76"/>
    <w:rsid w:val="00E55A2C"/>
    <w:rsid w:val="00E562B2"/>
    <w:rsid w:val="00E5694D"/>
    <w:rsid w:val="00E638A0"/>
    <w:rsid w:val="00E84740"/>
    <w:rsid w:val="00EA4AA2"/>
    <w:rsid w:val="00EB0F35"/>
    <w:rsid w:val="00EB66AE"/>
    <w:rsid w:val="00EC0F41"/>
    <w:rsid w:val="00EC3441"/>
    <w:rsid w:val="00ED3DE8"/>
    <w:rsid w:val="00ED686D"/>
    <w:rsid w:val="00ED7112"/>
    <w:rsid w:val="00EF3A30"/>
    <w:rsid w:val="00EF456F"/>
    <w:rsid w:val="00F07CC2"/>
    <w:rsid w:val="00F13723"/>
    <w:rsid w:val="00F32434"/>
    <w:rsid w:val="00F444D9"/>
    <w:rsid w:val="00F4700B"/>
    <w:rsid w:val="00F50AC4"/>
    <w:rsid w:val="00F644AF"/>
    <w:rsid w:val="00F67908"/>
    <w:rsid w:val="00F743DE"/>
    <w:rsid w:val="00F74F69"/>
    <w:rsid w:val="00F768B6"/>
    <w:rsid w:val="00FA7603"/>
    <w:rsid w:val="00FB2492"/>
    <w:rsid w:val="00FD0053"/>
    <w:rsid w:val="00FD360D"/>
    <w:rsid w:val="00FF62F8"/>
    <w:rsid w:val="18A44C61"/>
    <w:rsid w:val="525074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7"/>
    <w:semiHidden/>
    <w:unhideWhenUsed/>
    <w:uiPriority w:val="99"/>
    <w:pPr>
      <w:jc w:val="left"/>
    </w:pPr>
  </w:style>
  <w:style w:type="paragraph" w:styleId="7">
    <w:name w:val="Balloon Text"/>
    <w:basedOn w:val="1"/>
    <w:link w:val="20"/>
    <w:semiHidden/>
    <w:unhideWhenUsed/>
    <w:uiPriority w:val="99"/>
    <w:rPr>
      <w:sz w:val="18"/>
      <w:szCs w:val="18"/>
    </w:rPr>
  </w:style>
  <w:style w:type="paragraph" w:styleId="8">
    <w:name w:val="footer"/>
    <w:basedOn w:val="1"/>
    <w:link w:val="1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Title"/>
    <w:basedOn w:val="1"/>
    <w:next w:val="1"/>
    <w:link w:val="22"/>
    <w:qFormat/>
    <w:uiPriority w:val="10"/>
    <w:pPr>
      <w:spacing w:before="240" w:after="60"/>
      <w:jc w:val="center"/>
      <w:outlineLvl w:val="0"/>
    </w:pPr>
    <w:rPr>
      <w:rFonts w:asciiTheme="majorHAnsi" w:hAnsiTheme="majorHAnsi" w:cstheme="majorBidi"/>
      <w:b/>
      <w:bCs/>
      <w:sz w:val="32"/>
      <w:szCs w:val="32"/>
    </w:rPr>
  </w:style>
  <w:style w:type="paragraph" w:styleId="11">
    <w:name w:val="annotation subject"/>
    <w:basedOn w:val="6"/>
    <w:next w:val="6"/>
    <w:link w:val="28"/>
    <w:semiHidden/>
    <w:unhideWhenUsed/>
    <w:uiPriority w:val="99"/>
    <w:rPr>
      <w:b/>
      <w:bCs/>
    </w:rPr>
  </w:style>
  <w:style w:type="table" w:styleId="13">
    <w:name w:val="Table Grid"/>
    <w:basedOn w:val="12"/>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semiHidden/>
    <w:unhideWhenUsed/>
    <w:qFormat/>
    <w:uiPriority w:val="99"/>
    <w:rPr>
      <w:color w:val="0563C1"/>
      <w:u w:val="single"/>
    </w:rPr>
  </w:style>
  <w:style w:type="character" w:styleId="17">
    <w:name w:val="annotation reference"/>
    <w:basedOn w:val="14"/>
    <w:semiHidden/>
    <w:unhideWhenUsed/>
    <w:uiPriority w:val="99"/>
    <w:rPr>
      <w:sz w:val="21"/>
      <w:szCs w:val="21"/>
    </w:rPr>
  </w:style>
  <w:style w:type="character" w:customStyle="1" w:styleId="18">
    <w:name w:val="页眉 Char"/>
    <w:basedOn w:val="14"/>
    <w:link w:val="9"/>
    <w:uiPriority w:val="99"/>
    <w:rPr>
      <w:sz w:val="18"/>
      <w:szCs w:val="18"/>
    </w:rPr>
  </w:style>
  <w:style w:type="character" w:customStyle="1" w:styleId="19">
    <w:name w:val="页脚 Char"/>
    <w:basedOn w:val="14"/>
    <w:link w:val="8"/>
    <w:uiPriority w:val="99"/>
    <w:rPr>
      <w:sz w:val="18"/>
      <w:szCs w:val="18"/>
    </w:rPr>
  </w:style>
  <w:style w:type="character" w:customStyle="1" w:styleId="20">
    <w:name w:val="批注框文本 Char"/>
    <w:basedOn w:val="14"/>
    <w:link w:val="7"/>
    <w:semiHidden/>
    <w:uiPriority w:val="99"/>
    <w:rPr>
      <w:rFonts w:ascii="Times New Roman" w:hAnsi="Times New Roman" w:eastAsia="宋体" w:cs="Times New Roman"/>
      <w:sz w:val="18"/>
      <w:szCs w:val="18"/>
    </w:rPr>
  </w:style>
  <w:style w:type="paragraph" w:styleId="21">
    <w:name w:val="List Paragraph"/>
    <w:basedOn w:val="1"/>
    <w:qFormat/>
    <w:uiPriority w:val="34"/>
    <w:pPr>
      <w:ind w:firstLine="420" w:firstLineChars="200"/>
    </w:pPr>
  </w:style>
  <w:style w:type="character" w:customStyle="1" w:styleId="22">
    <w:name w:val="标题 Char"/>
    <w:basedOn w:val="14"/>
    <w:link w:val="10"/>
    <w:uiPriority w:val="10"/>
    <w:rPr>
      <w:rFonts w:eastAsia="宋体" w:asciiTheme="majorHAnsi" w:hAnsiTheme="majorHAnsi" w:cstheme="majorBidi"/>
      <w:b/>
      <w:bCs/>
      <w:sz w:val="32"/>
      <w:szCs w:val="32"/>
    </w:rPr>
  </w:style>
  <w:style w:type="character" w:customStyle="1" w:styleId="23">
    <w:name w:val="标题 2 Char"/>
    <w:basedOn w:val="14"/>
    <w:link w:val="3"/>
    <w:uiPriority w:val="9"/>
    <w:rPr>
      <w:rFonts w:asciiTheme="majorHAnsi" w:hAnsiTheme="majorHAnsi" w:eastAsiaTheme="majorEastAsia" w:cstheme="majorBidi"/>
      <w:b/>
      <w:bCs/>
      <w:sz w:val="32"/>
      <w:szCs w:val="32"/>
    </w:rPr>
  </w:style>
  <w:style w:type="character" w:customStyle="1" w:styleId="24">
    <w:name w:val="标题 3 Char"/>
    <w:basedOn w:val="14"/>
    <w:link w:val="4"/>
    <w:uiPriority w:val="9"/>
    <w:rPr>
      <w:rFonts w:ascii="Times New Roman" w:hAnsi="Times New Roman" w:eastAsia="宋体" w:cs="Times New Roman"/>
      <w:b/>
      <w:bCs/>
      <w:sz w:val="32"/>
      <w:szCs w:val="32"/>
    </w:rPr>
  </w:style>
  <w:style w:type="character" w:customStyle="1" w:styleId="25">
    <w:name w:val="标题 4 Char"/>
    <w:basedOn w:val="14"/>
    <w:link w:val="5"/>
    <w:uiPriority w:val="9"/>
    <w:rPr>
      <w:rFonts w:asciiTheme="majorHAnsi" w:hAnsiTheme="majorHAnsi" w:eastAsiaTheme="majorEastAsia" w:cstheme="majorBidi"/>
      <w:b/>
      <w:bCs/>
      <w:sz w:val="28"/>
      <w:szCs w:val="28"/>
    </w:rPr>
  </w:style>
  <w:style w:type="character" w:customStyle="1" w:styleId="26">
    <w:name w:val="标题 1 Char"/>
    <w:basedOn w:val="14"/>
    <w:link w:val="2"/>
    <w:uiPriority w:val="9"/>
    <w:rPr>
      <w:rFonts w:ascii="Times New Roman" w:hAnsi="Times New Roman" w:eastAsia="宋体" w:cs="Times New Roman"/>
      <w:b/>
      <w:bCs/>
      <w:kern w:val="44"/>
      <w:sz w:val="44"/>
      <w:szCs w:val="44"/>
    </w:rPr>
  </w:style>
  <w:style w:type="character" w:customStyle="1" w:styleId="27">
    <w:name w:val="批注文字 Char"/>
    <w:basedOn w:val="14"/>
    <w:link w:val="6"/>
    <w:semiHidden/>
    <w:uiPriority w:val="99"/>
    <w:rPr>
      <w:rFonts w:ascii="Times New Roman" w:hAnsi="Times New Roman" w:eastAsia="宋体" w:cs="Times New Roman"/>
      <w:szCs w:val="24"/>
    </w:rPr>
  </w:style>
  <w:style w:type="character" w:customStyle="1" w:styleId="28">
    <w:name w:val="批注主题 Char"/>
    <w:basedOn w:val="27"/>
    <w:link w:val="11"/>
    <w:semiHidden/>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0F61A-4360-4C02-BCA5-89F1FCBEB349}">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2</Pages>
  <Words>383</Words>
  <Characters>2187</Characters>
  <Lines>18</Lines>
  <Paragraphs>5</Paragraphs>
  <TotalTime>187</TotalTime>
  <ScaleCrop>false</ScaleCrop>
  <LinksUpToDate>false</LinksUpToDate>
  <CharactersWithSpaces>2565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2018-09-26T08:56:00Z</dcterms:created>
  <dc:creator>黎琳</dc:creator>
  <cp:lastModifiedBy>LiuYunpeng</cp:lastModifiedBy>
  <dcterms:modified xsi:type="dcterms:W3CDTF">2023-02-07T00:51:23Z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